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66" w:rsidRDefault="00261B66" w:rsidP="00261B66">
      <w:pPr>
        <w:pStyle w:val="00LEVEL1U"/>
        <w:rPr>
          <w:lang w:eastAsia="es-ES"/>
        </w:rPr>
      </w:pPr>
      <w:r w:rsidRPr="0011605F">
        <w:rPr>
          <w:sz w:val="34"/>
          <w:szCs w:val="34"/>
          <w:lang w:eastAsia="es-ES"/>
        </w:rPr>
        <w:t xml:space="preserve"> </w:t>
      </w:r>
      <w:r w:rsidRPr="0011605F">
        <w:rPr>
          <w:lang w:eastAsia="es-ES"/>
        </w:rPr>
        <w:t>Propuesta de temporalización de los distintos bloques y unidade</w:t>
      </w:r>
      <w:r>
        <w:rPr>
          <w:lang w:eastAsia="es-ES"/>
        </w:rPr>
        <w:t>s didácticas</w:t>
      </w:r>
      <w:r w:rsidRPr="0011605F">
        <w:rPr>
          <w:lang w:eastAsia="es-ES"/>
        </w:rPr>
        <w:t xml:space="preserve"> durante el curso</w:t>
      </w:r>
      <w:r w:rsidR="00E94D6A">
        <w:rPr>
          <w:lang w:eastAsia="es-ES"/>
        </w:rPr>
        <w:t xml:space="preserve"> 2017-18</w:t>
      </w:r>
      <w:bookmarkStart w:id="0" w:name="_GoBack"/>
      <w:bookmarkEnd w:id="0"/>
    </w:p>
    <w:p w:rsidR="00261B66" w:rsidRPr="00136484" w:rsidRDefault="00261B66" w:rsidP="00261B66">
      <w:pPr>
        <w:pStyle w:val="00LEVEL2U"/>
        <w:rPr>
          <w:lang w:eastAsia="es-ES"/>
        </w:rPr>
      </w:pPr>
    </w:p>
    <w:tbl>
      <w:tblPr>
        <w:tblW w:w="4945" w:type="pct"/>
        <w:tblInd w:w="113" w:type="dxa"/>
        <w:tblCellMar>
          <w:left w:w="0" w:type="dxa"/>
          <w:right w:w="0" w:type="dxa"/>
        </w:tblCellMar>
        <w:tblLook w:val="0000" w:firstRow="0" w:lastRow="0" w:firstColumn="0" w:lastColumn="0" w:noHBand="0" w:noVBand="0"/>
      </w:tblPr>
      <w:tblGrid>
        <w:gridCol w:w="2098"/>
        <w:gridCol w:w="945"/>
        <w:gridCol w:w="1113"/>
        <w:gridCol w:w="4245"/>
      </w:tblGrid>
      <w:tr w:rsidR="00261B66" w:rsidRPr="0011605F" w:rsidTr="00A82801">
        <w:trPr>
          <w:trHeight w:val="382"/>
        </w:trPr>
        <w:tc>
          <w:tcPr>
            <w:tcW w:w="1331" w:type="pct"/>
            <w:tcBorders>
              <w:top w:val="single" w:sz="4" w:space="0" w:color="000000"/>
              <w:left w:val="single" w:sz="4" w:space="0" w:color="000000"/>
              <w:bottom w:val="single" w:sz="4" w:space="0" w:color="000000"/>
              <w:right w:val="single" w:sz="4" w:space="0" w:color="000000"/>
            </w:tcBorders>
            <w:shd w:val="clear" w:color="auto" w:fill="D0D0D0"/>
            <w:tcMar>
              <w:top w:w="113" w:type="dxa"/>
              <w:left w:w="113" w:type="dxa"/>
              <w:bottom w:w="113" w:type="dxa"/>
              <w:right w:w="113" w:type="dxa"/>
            </w:tcMar>
            <w:vAlign w:val="center"/>
          </w:tcPr>
          <w:p w:rsidR="00261B66" w:rsidRPr="00943686" w:rsidRDefault="00261B66" w:rsidP="00A82801">
            <w:pPr>
              <w:pStyle w:val="00TEXTOU"/>
              <w:jc w:val="center"/>
              <w:rPr>
                <w:rFonts w:cs="AkzidenzGroteskBE-Regular"/>
                <w:lang w:eastAsia="es-ES"/>
              </w:rPr>
            </w:pPr>
            <w:r w:rsidRPr="00943686">
              <w:rPr>
                <w:rFonts w:cs="AkzidenzGroteskBE-Bold"/>
                <w:b/>
                <w:bCs/>
                <w:lang w:eastAsia="es-ES"/>
              </w:rPr>
              <w:t>Unidad</w:t>
            </w:r>
          </w:p>
        </w:tc>
        <w:tc>
          <w:tcPr>
            <w:tcW w:w="516" w:type="pct"/>
            <w:tcBorders>
              <w:top w:val="single" w:sz="4" w:space="0" w:color="000000"/>
              <w:left w:val="single" w:sz="4" w:space="0" w:color="000000"/>
              <w:bottom w:val="single" w:sz="4" w:space="0" w:color="000000"/>
              <w:right w:val="single" w:sz="4" w:space="0" w:color="000000"/>
            </w:tcBorders>
            <w:shd w:val="clear" w:color="auto" w:fill="D0D0D0"/>
            <w:tcMar>
              <w:top w:w="113" w:type="dxa"/>
              <w:left w:w="113" w:type="dxa"/>
              <w:bottom w:w="113" w:type="dxa"/>
              <w:right w:w="113" w:type="dxa"/>
            </w:tcMar>
            <w:vAlign w:val="center"/>
          </w:tcPr>
          <w:p w:rsidR="00261B66" w:rsidRPr="00943686" w:rsidRDefault="00261B66" w:rsidP="00A82801">
            <w:pPr>
              <w:pStyle w:val="00TEXTOU"/>
              <w:jc w:val="center"/>
              <w:rPr>
                <w:rFonts w:cs="AkzidenzGroteskBE-Regular"/>
                <w:lang w:eastAsia="es-ES"/>
              </w:rPr>
            </w:pPr>
            <w:r w:rsidRPr="00943686">
              <w:rPr>
                <w:rFonts w:cs="AkzidenzGroteskBE-Bold"/>
                <w:b/>
                <w:bCs/>
                <w:spacing w:val="-8"/>
                <w:lang w:eastAsia="es-ES"/>
              </w:rPr>
              <w:t>Sesiones</w:t>
            </w:r>
          </w:p>
        </w:tc>
        <w:tc>
          <w:tcPr>
            <w:tcW w:w="545" w:type="pct"/>
            <w:tcBorders>
              <w:top w:val="single" w:sz="4" w:space="0" w:color="000000"/>
              <w:left w:val="single" w:sz="4" w:space="0" w:color="000000"/>
              <w:bottom w:val="single" w:sz="4" w:space="0" w:color="000000"/>
              <w:right w:val="single" w:sz="4" w:space="0" w:color="000000"/>
            </w:tcBorders>
            <w:shd w:val="clear" w:color="auto" w:fill="D0D0D0"/>
            <w:tcMar>
              <w:top w:w="113" w:type="dxa"/>
              <w:left w:w="113" w:type="dxa"/>
              <w:bottom w:w="113" w:type="dxa"/>
              <w:right w:w="113" w:type="dxa"/>
            </w:tcMar>
            <w:vAlign w:val="center"/>
          </w:tcPr>
          <w:p w:rsidR="00261B66" w:rsidRPr="00943686" w:rsidRDefault="00261B66" w:rsidP="00A82801">
            <w:pPr>
              <w:pStyle w:val="00TEXTOU"/>
              <w:jc w:val="center"/>
              <w:rPr>
                <w:rFonts w:cs="AkzidenzGroteskBE-Regular"/>
                <w:lang w:eastAsia="es-ES"/>
              </w:rPr>
            </w:pPr>
            <w:r w:rsidRPr="00943686">
              <w:rPr>
                <w:rFonts w:cs="AkzidenzGroteskBE-Bold"/>
                <w:b/>
                <w:bCs/>
                <w:spacing w:val="-6"/>
                <w:lang w:eastAsia="es-ES"/>
              </w:rPr>
              <w:t>Trimestre</w:t>
            </w:r>
          </w:p>
        </w:tc>
        <w:tc>
          <w:tcPr>
            <w:tcW w:w="2608" w:type="pct"/>
            <w:tcBorders>
              <w:top w:val="single" w:sz="4" w:space="0" w:color="000000"/>
              <w:left w:val="single" w:sz="4" w:space="0" w:color="000000"/>
              <w:bottom w:val="single" w:sz="4" w:space="0" w:color="000000"/>
              <w:right w:val="single" w:sz="4" w:space="0" w:color="000000"/>
            </w:tcBorders>
            <w:shd w:val="clear" w:color="auto" w:fill="D0D0D0"/>
            <w:tcMar>
              <w:top w:w="113" w:type="dxa"/>
              <w:left w:w="113" w:type="dxa"/>
              <w:bottom w:w="113" w:type="dxa"/>
              <w:right w:w="113" w:type="dxa"/>
            </w:tcMar>
            <w:vAlign w:val="center"/>
          </w:tcPr>
          <w:p w:rsidR="00261B66" w:rsidRPr="00943686" w:rsidRDefault="00261B66" w:rsidP="00A82801">
            <w:pPr>
              <w:pStyle w:val="00TEXTOU"/>
              <w:jc w:val="center"/>
              <w:rPr>
                <w:rFonts w:cs="AkzidenzGroteskBE-Regular"/>
                <w:lang w:eastAsia="es-ES"/>
              </w:rPr>
            </w:pPr>
            <w:r w:rsidRPr="00943686">
              <w:rPr>
                <w:rFonts w:cs="AkzidenzGroteskBE-Bold"/>
                <w:b/>
                <w:bCs/>
                <w:lang w:eastAsia="es-ES"/>
              </w:rPr>
              <w:t>Justificación</w:t>
            </w:r>
          </w:p>
        </w:tc>
      </w:tr>
      <w:tr w:rsidR="00261B66" w:rsidRPr="00261B66" w:rsidTr="00261B66">
        <w:trPr>
          <w:trHeight w:val="778"/>
        </w:trPr>
        <w:tc>
          <w:tcPr>
            <w:tcW w:w="1331"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1. La Europa del Antiguo Régimen</w:t>
            </w:r>
          </w:p>
        </w:tc>
        <w:tc>
          <w:tcPr>
            <w:tcW w:w="516"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8</w:t>
            </w:r>
          </w:p>
        </w:tc>
        <w:tc>
          <w:tcPr>
            <w:tcW w:w="545"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1.º</w:t>
            </w:r>
          </w:p>
        </w:tc>
        <w:tc>
          <w:tcPr>
            <w:tcW w:w="2608" w:type="pct"/>
            <w:vMerge w:val="restart"/>
            <w:tcBorders>
              <w:top w:val="single" w:sz="4" w:space="0" w:color="000000"/>
              <w:left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Unidades introductorias sobre el siglo XVIII importantes para comprender por qué se producen las revoluciones burguesas. </w:t>
            </w:r>
          </w:p>
        </w:tc>
      </w:tr>
      <w:tr w:rsidR="00261B66" w:rsidRPr="00261B66" w:rsidTr="00261B66">
        <w:trPr>
          <w:trHeight w:val="558"/>
        </w:trPr>
        <w:tc>
          <w:tcPr>
            <w:tcW w:w="1331"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2. Las revoluciones burguesas</w:t>
            </w:r>
          </w:p>
        </w:tc>
        <w:tc>
          <w:tcPr>
            <w:tcW w:w="516"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10</w:t>
            </w:r>
          </w:p>
        </w:tc>
        <w:tc>
          <w:tcPr>
            <w:tcW w:w="545"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1.º</w:t>
            </w:r>
          </w:p>
        </w:tc>
        <w:tc>
          <w:tcPr>
            <w:tcW w:w="2608" w:type="pct"/>
            <w:vMerge/>
            <w:tcBorders>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rPr>
                <w:b/>
                <w:spacing w:val="0"/>
                <w:sz w:val="20"/>
                <w:szCs w:val="20"/>
              </w:rPr>
            </w:pPr>
          </w:p>
        </w:tc>
      </w:tr>
      <w:tr w:rsidR="00261B66" w:rsidRPr="00261B66" w:rsidTr="00261B66">
        <w:trPr>
          <w:trHeight w:val="821"/>
        </w:trPr>
        <w:tc>
          <w:tcPr>
            <w:tcW w:w="1331"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3. El final del Antiguo Régimen en España</w:t>
            </w:r>
          </w:p>
        </w:tc>
        <w:tc>
          <w:tcPr>
            <w:tcW w:w="516"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10</w:t>
            </w:r>
          </w:p>
        </w:tc>
        <w:tc>
          <w:tcPr>
            <w:tcW w:w="545"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1.º</w:t>
            </w:r>
          </w:p>
        </w:tc>
        <w:tc>
          <w:tcPr>
            <w:tcW w:w="2608"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Primera unidad dedicada íntegramente a la historia de España, siendo fundamental para entender el devenir posterior de nuestro país. </w:t>
            </w:r>
          </w:p>
        </w:tc>
      </w:tr>
      <w:tr w:rsidR="00261B66" w:rsidRPr="00261B66" w:rsidTr="00261B66">
        <w:trPr>
          <w:trHeight w:val="857"/>
        </w:trPr>
        <w:tc>
          <w:tcPr>
            <w:tcW w:w="1331"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4. Las revoluciones industriales</w:t>
            </w:r>
          </w:p>
        </w:tc>
        <w:tc>
          <w:tcPr>
            <w:tcW w:w="516"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10</w:t>
            </w:r>
          </w:p>
        </w:tc>
        <w:tc>
          <w:tcPr>
            <w:tcW w:w="545"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1.º</w:t>
            </w:r>
          </w:p>
        </w:tc>
        <w:tc>
          <w:tcPr>
            <w:tcW w:w="2608"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Esta unidad, a diferencia de las anteriores, aborda únicamente contenidos relacionados con la economía y la sociedad, así como los cambios importantes que se produjeron, en paralelo a los cambios políticos abordados en las unidades anteriores. </w:t>
            </w:r>
          </w:p>
        </w:tc>
      </w:tr>
      <w:tr w:rsidR="00261B66" w:rsidRPr="001E0F9E" w:rsidTr="00261B66">
        <w:trPr>
          <w:trHeight w:val="862"/>
        </w:trPr>
        <w:tc>
          <w:tcPr>
            <w:tcW w:w="1331"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Unidad 5. El Estado liberal en España</w:t>
            </w:r>
          </w:p>
        </w:tc>
        <w:tc>
          <w:tcPr>
            <w:tcW w:w="516"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8</w:t>
            </w:r>
          </w:p>
        </w:tc>
        <w:tc>
          <w:tcPr>
            <w:tcW w:w="545"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2.º</w:t>
            </w:r>
          </w:p>
        </w:tc>
        <w:tc>
          <w:tcPr>
            <w:tcW w:w="260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Con esta unidad podremos comprender cuáles son las bases políticas, sociales y económicas sobre la que se sustenta el desarrollo histórico de nuestro país. </w:t>
            </w:r>
          </w:p>
        </w:tc>
      </w:tr>
      <w:tr w:rsidR="00261B66" w:rsidRPr="001E0F9E" w:rsidTr="00261B66">
        <w:trPr>
          <w:trHeight w:val="674"/>
        </w:trPr>
        <w:tc>
          <w:tcPr>
            <w:tcW w:w="1331"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Unidad 6. Imperialismo y Primera Guerra Mundial</w:t>
            </w:r>
          </w:p>
        </w:tc>
        <w:tc>
          <w:tcPr>
            <w:tcW w:w="516"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9</w:t>
            </w:r>
          </w:p>
        </w:tc>
        <w:tc>
          <w:tcPr>
            <w:tcW w:w="545"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2.º</w:t>
            </w:r>
          </w:p>
        </w:tc>
        <w:tc>
          <w:tcPr>
            <w:tcW w:w="260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Esta es una unidad muy amplia porque abarca una gran cantidad de acontecimientos, y es imprescindible para entender el origen de la Segunda Guerra Mundial o el ascenso de los fascismos en el periodo de entreguerras. </w:t>
            </w:r>
          </w:p>
        </w:tc>
      </w:tr>
      <w:tr w:rsidR="00261B66" w:rsidRPr="001E0F9E" w:rsidTr="00261B66">
        <w:trPr>
          <w:trHeight w:val="953"/>
        </w:trPr>
        <w:tc>
          <w:tcPr>
            <w:tcW w:w="1331"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Unidad 7. La época de entreguerras</w:t>
            </w:r>
          </w:p>
        </w:tc>
        <w:tc>
          <w:tcPr>
            <w:tcW w:w="516"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7</w:t>
            </w:r>
          </w:p>
        </w:tc>
        <w:tc>
          <w:tcPr>
            <w:tcW w:w="545"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2.º</w:t>
            </w:r>
          </w:p>
        </w:tc>
        <w:tc>
          <w:tcPr>
            <w:tcW w:w="260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Esta unidad es algo menos extensa, pero deberíamos prestarle gran atención al ascenso y las características de los fascismos. </w:t>
            </w:r>
          </w:p>
        </w:tc>
      </w:tr>
      <w:tr w:rsidR="00261B66" w:rsidRPr="001E0F9E" w:rsidTr="00261B66">
        <w:trPr>
          <w:trHeight w:val="760"/>
        </w:trPr>
        <w:tc>
          <w:tcPr>
            <w:tcW w:w="1331"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Unidad 8. España en el primer tercio del siglo XX</w:t>
            </w:r>
          </w:p>
        </w:tc>
        <w:tc>
          <w:tcPr>
            <w:tcW w:w="516"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7</w:t>
            </w:r>
          </w:p>
        </w:tc>
        <w:tc>
          <w:tcPr>
            <w:tcW w:w="545"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pStyle w:val="00TEXTOU"/>
              <w:jc w:val="center"/>
              <w:rPr>
                <w:rFonts w:cs="AkzidenzGroteskBE-Regular"/>
                <w:b/>
                <w:sz w:val="19"/>
                <w:szCs w:val="19"/>
                <w:lang w:eastAsia="es-ES"/>
              </w:rPr>
            </w:pPr>
            <w:r w:rsidRPr="00261B66">
              <w:rPr>
                <w:rFonts w:cs="AkzidenzGroteskBE-Regular"/>
                <w:b/>
                <w:sz w:val="19"/>
                <w:szCs w:val="19"/>
                <w:lang w:eastAsia="es-ES"/>
              </w:rPr>
              <w:t>2.º</w:t>
            </w:r>
          </w:p>
        </w:tc>
        <w:tc>
          <w:tcPr>
            <w:tcW w:w="260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Esta unidad es importante para entender el desarrollo de la historia reciente de nuestro país. </w:t>
            </w:r>
          </w:p>
        </w:tc>
      </w:tr>
      <w:tr w:rsidR="00261B66" w:rsidRPr="001E0F9E" w:rsidTr="00261B66">
        <w:trPr>
          <w:trHeight w:val="636"/>
        </w:trPr>
        <w:tc>
          <w:tcPr>
            <w:tcW w:w="1331"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9. La Segunda Guerra Mundial</w:t>
            </w:r>
          </w:p>
        </w:tc>
        <w:tc>
          <w:tcPr>
            <w:tcW w:w="51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Default="00261B66" w:rsidP="00A82801">
            <w:pPr>
              <w:pStyle w:val="00TEXTOU"/>
              <w:jc w:val="center"/>
              <w:rPr>
                <w:rFonts w:cs="AkzidenzGroteskBE-Regular"/>
                <w:sz w:val="19"/>
                <w:szCs w:val="19"/>
                <w:lang w:eastAsia="es-ES"/>
              </w:rPr>
            </w:pPr>
            <w:r>
              <w:rPr>
                <w:rFonts w:cs="AkzidenzGroteskBE-Regular"/>
                <w:sz w:val="19"/>
                <w:szCs w:val="19"/>
                <w:lang w:eastAsia="es-ES"/>
              </w:rPr>
              <w:t>9</w:t>
            </w:r>
          </w:p>
        </w:tc>
        <w:tc>
          <w:tcPr>
            <w:tcW w:w="545"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sidRPr="00157869">
              <w:rPr>
                <w:rFonts w:cs="AkzidenzGroteskBE-Regular"/>
                <w:sz w:val="19"/>
                <w:szCs w:val="19"/>
                <w:lang w:eastAsia="es-ES"/>
              </w:rPr>
              <w:t>3.º</w:t>
            </w:r>
          </w:p>
        </w:tc>
        <w:tc>
          <w:tcPr>
            <w:tcW w:w="2608" w:type="pct"/>
            <w:vMerge w:val="restart"/>
            <w:tcBorders>
              <w:top w:val="single" w:sz="4" w:space="0" w:color="000000"/>
              <w:left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Estas unidades son claves para entender el origen de nuestro mundo actual.</w:t>
            </w:r>
          </w:p>
        </w:tc>
      </w:tr>
      <w:tr w:rsidR="00261B66" w:rsidRPr="001E0F9E" w:rsidTr="00261B66">
        <w:trPr>
          <w:trHeight w:val="390"/>
        </w:trPr>
        <w:tc>
          <w:tcPr>
            <w:tcW w:w="1331"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10. La Guerra Fría</w:t>
            </w:r>
          </w:p>
        </w:tc>
        <w:tc>
          <w:tcPr>
            <w:tcW w:w="51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Pr>
                <w:rFonts w:cs="AkzidenzGroteskBE-Regular"/>
                <w:sz w:val="19"/>
                <w:szCs w:val="19"/>
                <w:lang w:eastAsia="es-ES"/>
              </w:rPr>
              <w:t>10</w:t>
            </w:r>
          </w:p>
        </w:tc>
        <w:tc>
          <w:tcPr>
            <w:tcW w:w="545"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sidRPr="00157869">
              <w:rPr>
                <w:rFonts w:cs="AkzidenzGroteskBE-Regular"/>
                <w:sz w:val="19"/>
                <w:szCs w:val="19"/>
                <w:lang w:eastAsia="es-ES"/>
              </w:rPr>
              <w:t>3.º</w:t>
            </w:r>
          </w:p>
        </w:tc>
        <w:tc>
          <w:tcPr>
            <w:tcW w:w="2608" w:type="pct"/>
            <w:vMerge/>
            <w:tcBorders>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rsidR="00261B66" w:rsidRPr="00261B66" w:rsidRDefault="00261B66" w:rsidP="00A82801">
            <w:pPr>
              <w:rPr>
                <w:b/>
                <w:spacing w:val="0"/>
                <w:sz w:val="20"/>
                <w:szCs w:val="20"/>
              </w:rPr>
            </w:pPr>
          </w:p>
        </w:tc>
      </w:tr>
      <w:tr w:rsidR="00261B66" w:rsidRPr="001E0F9E" w:rsidTr="00261B66">
        <w:trPr>
          <w:trHeight w:val="815"/>
        </w:trPr>
        <w:tc>
          <w:tcPr>
            <w:tcW w:w="1331"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11. Dictadura franquista, Transición y gobiernos democráticos</w:t>
            </w:r>
          </w:p>
        </w:tc>
        <w:tc>
          <w:tcPr>
            <w:tcW w:w="51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Pr>
                <w:rFonts w:cs="AkzidenzGroteskBE-Regular"/>
                <w:sz w:val="19"/>
                <w:szCs w:val="19"/>
                <w:lang w:eastAsia="es-ES"/>
              </w:rPr>
              <w:t>10</w:t>
            </w:r>
          </w:p>
        </w:tc>
        <w:tc>
          <w:tcPr>
            <w:tcW w:w="545"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sidRPr="00157869">
              <w:rPr>
                <w:rFonts w:cs="AkzidenzGroteskBE-Regular"/>
                <w:sz w:val="19"/>
                <w:szCs w:val="19"/>
                <w:lang w:eastAsia="es-ES"/>
              </w:rPr>
              <w:t>3.º</w:t>
            </w:r>
          </w:p>
        </w:tc>
        <w:tc>
          <w:tcPr>
            <w:tcW w:w="260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261B66" w:rsidRDefault="00261B66" w:rsidP="00A82801">
            <w:pPr>
              <w:rPr>
                <w:b/>
                <w:spacing w:val="0"/>
                <w:sz w:val="20"/>
                <w:szCs w:val="20"/>
              </w:rPr>
            </w:pPr>
            <w:r w:rsidRPr="00261B66">
              <w:rPr>
                <w:b/>
                <w:spacing w:val="0"/>
                <w:sz w:val="20"/>
                <w:szCs w:val="20"/>
              </w:rPr>
              <w:t xml:space="preserve">En esta unidad se abordan cuestiones fundamentales para conocer las bases de nuestra democracia actual. </w:t>
            </w:r>
          </w:p>
        </w:tc>
      </w:tr>
      <w:tr w:rsidR="00261B66" w:rsidRPr="001E0F9E" w:rsidTr="00261B66">
        <w:trPr>
          <w:trHeight w:val="914"/>
        </w:trPr>
        <w:tc>
          <w:tcPr>
            <w:tcW w:w="1331"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3D457C" w:rsidRDefault="00261B66" w:rsidP="00A82801">
            <w:pPr>
              <w:rPr>
                <w:b/>
                <w:spacing w:val="0"/>
                <w:sz w:val="20"/>
                <w:szCs w:val="20"/>
              </w:rPr>
            </w:pPr>
            <w:r w:rsidRPr="003D457C">
              <w:rPr>
                <w:b/>
                <w:spacing w:val="0"/>
                <w:sz w:val="20"/>
                <w:szCs w:val="20"/>
              </w:rPr>
              <w:t>Unidad 12. El mundo reciente</w:t>
            </w:r>
          </w:p>
        </w:tc>
        <w:tc>
          <w:tcPr>
            <w:tcW w:w="516"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sidRPr="00157869">
              <w:rPr>
                <w:rFonts w:cs="AkzidenzGroteskBE-Regular"/>
                <w:sz w:val="19"/>
                <w:szCs w:val="19"/>
                <w:lang w:eastAsia="es-ES"/>
              </w:rPr>
              <w:t>9</w:t>
            </w:r>
          </w:p>
        </w:tc>
        <w:tc>
          <w:tcPr>
            <w:tcW w:w="545"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rsidR="00261B66" w:rsidRPr="00157869" w:rsidRDefault="00261B66" w:rsidP="00A82801">
            <w:pPr>
              <w:pStyle w:val="00TEXTOU"/>
              <w:jc w:val="center"/>
              <w:rPr>
                <w:rFonts w:cs="AkzidenzGroteskBE-Regular"/>
                <w:sz w:val="19"/>
                <w:szCs w:val="19"/>
                <w:lang w:eastAsia="es-ES"/>
              </w:rPr>
            </w:pPr>
            <w:r w:rsidRPr="00157869">
              <w:rPr>
                <w:rFonts w:cs="AkzidenzGroteskBE-Regular"/>
                <w:sz w:val="19"/>
                <w:szCs w:val="19"/>
                <w:lang w:eastAsia="es-ES"/>
              </w:rPr>
              <w:t>3.º</w:t>
            </w:r>
          </w:p>
        </w:tc>
        <w:tc>
          <w:tcPr>
            <w:tcW w:w="2608" w:type="pct"/>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rsidR="00261B66" w:rsidRPr="00261B66" w:rsidRDefault="00261B66" w:rsidP="00A82801">
            <w:pPr>
              <w:rPr>
                <w:b/>
                <w:spacing w:val="0"/>
                <w:sz w:val="20"/>
                <w:szCs w:val="20"/>
              </w:rPr>
            </w:pPr>
            <w:r w:rsidRPr="00261B66">
              <w:rPr>
                <w:b/>
                <w:spacing w:val="0"/>
                <w:sz w:val="20"/>
                <w:szCs w:val="20"/>
              </w:rPr>
              <w:t xml:space="preserve">Siendo la última, pero no menos importante, y teniendo en cuenta que se situará al final del curso, recomendamos impartirla en no más de nueve sesiones. Además, como muchos de sus contenidos ya han sido vistos en unidades anteriores, no es necesario volver a explicar conceptos ya tratados y puede verse con mayor rapidez.  </w:t>
            </w:r>
          </w:p>
        </w:tc>
      </w:tr>
    </w:tbl>
    <w:p w:rsidR="008B1FA3" w:rsidRDefault="008B1FA3" w:rsidP="00E94D6A"/>
    <w:sectPr w:rsidR="008B1FA3" w:rsidSect="00E94D6A">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T St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AmericanTypewriterStd-Bold">
    <w:altName w:val="Calibri"/>
    <w:panose1 w:val="00000000000000000000"/>
    <w:charset w:val="4D"/>
    <w:family w:val="auto"/>
    <w:notTrueType/>
    <w:pitch w:val="default"/>
    <w:sig w:usb0="00000003" w:usb1="00000000" w:usb2="00000000" w:usb3="00000000" w:csb0="00000001" w:csb1="00000000"/>
  </w:font>
  <w:font w:name="AkzidenzGroteskBE-Bold">
    <w:altName w:val="Calibri"/>
    <w:panose1 w:val="00000000000000000000"/>
    <w:charset w:val="4D"/>
    <w:family w:val="auto"/>
    <w:notTrueType/>
    <w:pitch w:val="default"/>
    <w:sig w:usb0="00000003" w:usb1="00000000" w:usb2="00000000" w:usb3="00000000" w:csb0="00000001" w:csb1="00000000"/>
  </w:font>
  <w:font w:name="AkzidenzGroteskB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6"/>
    <w:rsid w:val="00261B66"/>
    <w:rsid w:val="008B1FA3"/>
    <w:rsid w:val="00E94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6AC4"/>
  <w15:chartTrackingRefBased/>
  <w15:docId w15:val="{6CD1E4C3-2F84-4AB5-9681-73C49C18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B66"/>
    <w:pPr>
      <w:spacing w:after="0" w:line="240" w:lineRule="auto"/>
    </w:pPr>
    <w:rPr>
      <w:rFonts w:ascii="Times New Roman MT Std" w:eastAsia="MS Mincho" w:hAnsi="Times New Roman MT Std" w:cs="Times New Roman"/>
      <w:color w:val="000000"/>
      <w:spacing w:val="20"/>
      <w:kern w:val="36"/>
      <w:sz w:val="36"/>
      <w:szCs w:val="36"/>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TEXTOU">
    <w:name w:val="00_TEXTO_U"/>
    <w:basedOn w:val="Normal"/>
    <w:qFormat/>
    <w:rsid w:val="00261B66"/>
    <w:pPr>
      <w:widowControl w:val="0"/>
      <w:autoSpaceDE w:val="0"/>
      <w:autoSpaceDN w:val="0"/>
      <w:adjustRightInd w:val="0"/>
      <w:spacing w:before="113" w:line="256" w:lineRule="atLeast"/>
      <w:jc w:val="both"/>
      <w:textAlignment w:val="center"/>
    </w:pPr>
    <w:rPr>
      <w:rFonts w:cs="TimesNewRomanMTStd"/>
      <w:spacing w:val="0"/>
      <w:kern w:val="0"/>
      <w:sz w:val="22"/>
      <w:szCs w:val="22"/>
    </w:rPr>
  </w:style>
  <w:style w:type="paragraph" w:customStyle="1" w:styleId="00LEVEL2U">
    <w:name w:val="00_LEVEL2_U"/>
    <w:basedOn w:val="00LEVEL1U"/>
    <w:qFormat/>
    <w:rsid w:val="00261B66"/>
    <w:pPr>
      <w:spacing w:before="120"/>
      <w:ind w:left="510" w:hanging="510"/>
    </w:pPr>
    <w:rPr>
      <w:sz w:val="28"/>
      <w:szCs w:val="32"/>
    </w:rPr>
  </w:style>
  <w:style w:type="paragraph" w:customStyle="1" w:styleId="00LEVEL1U">
    <w:name w:val="00_LEVEL1_U"/>
    <w:basedOn w:val="Normal"/>
    <w:next w:val="00LEVEL2U"/>
    <w:qFormat/>
    <w:rsid w:val="00261B66"/>
    <w:pPr>
      <w:ind w:left="397" w:hanging="397"/>
    </w:pPr>
    <w:rPr>
      <w:rFonts w:cs="AmericanTypewriterStd-Bold"/>
      <w:b/>
      <w:bCs/>
      <w:spacing w:val="0"/>
      <w:kern w:val="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
  <cp:lastModifiedBy>Nieves</cp:lastModifiedBy>
  <cp:revision>2</cp:revision>
  <dcterms:created xsi:type="dcterms:W3CDTF">2017-09-11T10:35:00Z</dcterms:created>
  <dcterms:modified xsi:type="dcterms:W3CDTF">2017-09-21T15:18:00Z</dcterms:modified>
</cp:coreProperties>
</file>